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0" w:type="auto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2"/>
        <w:gridCol w:w="5670"/>
      </w:tblGrid>
      <w:tr w14:paraId="293277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2" w:type="dxa"/>
            <w:shd w:val="clear" w:color="auto" w:fill="auto"/>
            <w:noWrap w:val="0"/>
            <w:vAlign w:val="top"/>
          </w:tcPr>
          <w:p w14:paraId="42532AB7">
            <w:pPr>
              <w:pStyle w:val="4"/>
              <w:spacing w:line="192" w:lineRule="auto"/>
              <w:outlineLvl w:val="1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  <w:tc>
          <w:tcPr>
            <w:tcW w:w="5670" w:type="dxa"/>
            <w:shd w:val="clear" w:color="auto" w:fill="auto"/>
            <w:noWrap w:val="0"/>
            <w:vAlign w:val="top"/>
          </w:tcPr>
          <w:p w14:paraId="2CD1F905">
            <w:pPr>
              <w:pStyle w:val="4"/>
              <w:spacing w:line="192" w:lineRule="auto"/>
              <w:jc w:val="center"/>
              <w:outlineLvl w:val="1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  <w:p w14:paraId="36AF9A58">
            <w:pPr>
              <w:pStyle w:val="4"/>
              <w:wordWrap w:val="0"/>
              <w:ind w:firstLine="709"/>
              <w:jc w:val="right"/>
              <w:outlineLvl w:val="1"/>
              <w:rPr>
                <w:rFonts w:hint="default" w:ascii="Times New Roman" w:hAnsi="Times New Roman" w:eastAsia="Calibri" w:cs="Times New Roman"/>
                <w:b w:val="0"/>
                <w:bCs w:val="0"/>
                <w:iCs/>
                <w:sz w:val="21"/>
                <w:szCs w:val="21"/>
                <w:lang w:val="ru-RU"/>
              </w:rPr>
            </w:pPr>
            <w:r>
              <w:rPr>
                <w:rFonts w:hint="default" w:ascii="Times New Roman" w:hAnsi="Times New Roman" w:eastAsia="Calibri" w:cs="Times New Roman"/>
                <w:b w:val="0"/>
                <w:bCs w:val="0"/>
                <w:sz w:val="21"/>
                <w:szCs w:val="21"/>
              </w:rPr>
              <w:t xml:space="preserve">Приложение 2 к </w:t>
            </w:r>
            <w:r>
              <w:rPr>
                <w:rFonts w:hint="default" w:ascii="Times New Roman" w:hAnsi="Times New Roman" w:eastAsia="Calibri" w:cs="Times New Roman"/>
                <w:b w:val="0"/>
                <w:bCs w:val="0"/>
                <w:iCs/>
                <w:sz w:val="21"/>
                <w:szCs w:val="21"/>
              </w:rPr>
              <w:t>положени</w:t>
            </w:r>
            <w:r>
              <w:rPr>
                <w:rFonts w:hint="default" w:ascii="Times New Roman" w:hAnsi="Times New Roman" w:eastAsia="Calibri" w:cs="Times New Roman"/>
                <w:b w:val="0"/>
                <w:bCs w:val="0"/>
                <w:iCs/>
                <w:sz w:val="21"/>
                <w:szCs w:val="21"/>
                <w:lang w:val="ru-RU"/>
              </w:rPr>
              <w:t xml:space="preserve">ю </w:t>
            </w:r>
          </w:p>
          <w:p w14:paraId="69795FAF">
            <w:pPr>
              <w:pStyle w:val="4"/>
              <w:wordWrap w:val="0"/>
              <w:ind w:firstLine="709"/>
              <w:jc w:val="right"/>
              <w:outlineLvl w:val="1"/>
              <w:rPr>
                <w:rStyle w:val="5"/>
                <w:rFonts w:hint="default" w:ascii="Times New Roman" w:hAnsi="Times New Roman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Calibri" w:cs="Times New Roman"/>
                <w:b w:val="0"/>
                <w:bCs w:val="0"/>
                <w:iCs/>
                <w:sz w:val="21"/>
                <w:szCs w:val="21"/>
              </w:rPr>
              <w:t xml:space="preserve"> о 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sz w:val="21"/>
                <w:szCs w:val="21"/>
              </w:rPr>
              <w:t xml:space="preserve">муниципальном 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sz w:val="21"/>
                <w:szCs w:val="21"/>
                <w:lang w:val="ru-RU"/>
              </w:rPr>
              <w:t>жилищном контроле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sz w:val="21"/>
                <w:szCs w:val="21"/>
              </w:rPr>
              <w:t xml:space="preserve"> на </w:t>
            </w:r>
          </w:p>
          <w:p w14:paraId="60E2F10A">
            <w:pPr>
              <w:pStyle w:val="4"/>
              <w:wordWrap w:val="0"/>
              <w:ind w:firstLine="709"/>
              <w:jc w:val="right"/>
              <w:outlineLvl w:val="1"/>
              <w:rPr>
                <w:rStyle w:val="5"/>
                <w:rFonts w:hint="default" w:ascii="Times New Roman" w:hAnsi="Times New Roman" w:cs="Times New Roman"/>
                <w:b w:val="0"/>
                <w:bCs w:val="0"/>
                <w:sz w:val="21"/>
                <w:szCs w:val="21"/>
              </w:rPr>
            </w:pP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sz w:val="21"/>
                <w:szCs w:val="21"/>
              </w:rPr>
              <w:t>территории муниципального образования</w:t>
            </w:r>
          </w:p>
          <w:p w14:paraId="2AC5C015">
            <w:pPr>
              <w:pStyle w:val="4"/>
              <w:wordWrap w:val="0"/>
              <w:ind w:firstLine="709"/>
              <w:jc w:val="right"/>
              <w:outlineLvl w:val="1"/>
              <w:rPr>
                <w:rFonts w:hint="default" w:ascii="Times New Roman" w:hAnsi="Times New Roman" w:eastAsia="Calibri" w:cs="Times New Roman"/>
                <w:b w:val="0"/>
                <w:bCs w:val="0"/>
                <w:kern w:val="28"/>
                <w:sz w:val="21"/>
                <w:szCs w:val="21"/>
              </w:rPr>
            </w:pPr>
            <w:r>
              <w:rPr>
                <w:rFonts w:hint="default" w:ascii="Times New Roman" w:hAnsi="Times New Roman" w:eastAsia="Calibri" w:cs="Times New Roman"/>
                <w:b w:val="0"/>
                <w:bCs w:val="0"/>
                <w:kern w:val="28"/>
                <w:sz w:val="21"/>
                <w:szCs w:val="21"/>
              </w:rPr>
              <w:t xml:space="preserve"> Свирицкое сельское</w:t>
            </w:r>
            <w:r>
              <w:rPr>
                <w:rFonts w:hint="default" w:ascii="Times New Roman" w:hAnsi="Times New Roman" w:eastAsia="Calibri" w:cs="Times New Roman"/>
                <w:b w:val="0"/>
                <w:bCs w:val="0"/>
                <w:kern w:val="28"/>
                <w:sz w:val="21"/>
                <w:szCs w:val="21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Calibri" w:cs="Times New Roman"/>
                <w:b w:val="0"/>
                <w:bCs w:val="0"/>
                <w:kern w:val="28"/>
                <w:sz w:val="21"/>
                <w:szCs w:val="21"/>
              </w:rPr>
              <w:t>поселение</w:t>
            </w:r>
          </w:p>
          <w:p w14:paraId="04FFA01E">
            <w:pPr>
              <w:pStyle w:val="4"/>
              <w:wordWrap w:val="0"/>
              <w:ind w:left="0" w:leftChars="0" w:firstLine="480" w:firstLineChars="0"/>
              <w:jc w:val="right"/>
              <w:outlineLvl w:val="1"/>
              <w:rPr>
                <w:rFonts w:hint="default" w:ascii="Times New Roman" w:hAnsi="Times New Roman" w:eastAsia="Calibri" w:cs="Times New Roman"/>
                <w:b w:val="0"/>
                <w:bCs w:val="0"/>
                <w:kern w:val="28"/>
                <w:sz w:val="21"/>
                <w:szCs w:val="21"/>
              </w:rPr>
            </w:pPr>
            <w:r>
              <w:rPr>
                <w:rFonts w:hint="default" w:ascii="Times New Roman" w:hAnsi="Times New Roman" w:eastAsia="Calibri" w:cs="Times New Roman"/>
                <w:b w:val="0"/>
                <w:bCs w:val="0"/>
                <w:kern w:val="28"/>
                <w:sz w:val="21"/>
                <w:szCs w:val="21"/>
              </w:rPr>
              <w:t>Волховского муниципального образов</w:t>
            </w:r>
            <w:r>
              <w:rPr>
                <w:rFonts w:hint="default" w:ascii="Times New Roman" w:hAnsi="Times New Roman" w:eastAsia="Calibri" w:cs="Times New Roman"/>
                <w:b w:val="0"/>
                <w:bCs w:val="0"/>
                <w:kern w:val="28"/>
                <w:sz w:val="21"/>
                <w:szCs w:val="21"/>
                <w:lang w:val="ru-RU"/>
              </w:rPr>
              <w:t>а</w:t>
            </w:r>
            <w:r>
              <w:rPr>
                <w:rFonts w:hint="default" w:ascii="Times New Roman" w:hAnsi="Times New Roman" w:eastAsia="Calibri" w:cs="Times New Roman"/>
                <w:b w:val="0"/>
                <w:bCs w:val="0"/>
                <w:kern w:val="28"/>
                <w:sz w:val="21"/>
                <w:szCs w:val="21"/>
              </w:rPr>
              <w:t>ния</w:t>
            </w:r>
          </w:p>
          <w:p w14:paraId="732843B8">
            <w:pPr>
              <w:pStyle w:val="4"/>
              <w:spacing w:line="192" w:lineRule="auto"/>
              <w:jc w:val="right"/>
              <w:outlineLvl w:val="1"/>
              <w:rPr>
                <w:rFonts w:ascii="Times New Roman" w:hAnsi="Times New Roman" w:eastAsia="Calibri" w:cs="Times New Roman"/>
                <w:sz w:val="24"/>
                <w:szCs w:val="24"/>
                <w:vertAlign w:val="superscript"/>
              </w:rPr>
            </w:pPr>
            <w:r>
              <w:rPr>
                <w:rFonts w:hint="default" w:ascii="Times New Roman" w:hAnsi="Times New Roman" w:eastAsia="Calibri" w:cs="Times New Roman"/>
                <w:b w:val="0"/>
                <w:bCs w:val="0"/>
                <w:kern w:val="28"/>
                <w:sz w:val="21"/>
                <w:szCs w:val="21"/>
              </w:rPr>
              <w:t>Ленинградской области</w:t>
            </w:r>
            <w:r>
              <w:rPr>
                <w:rFonts w:ascii="Times New Roman" w:hAnsi="Times New Roman" w:eastAsia="Calibri" w:cs="Times New Roman"/>
                <w:sz w:val="28"/>
                <w:szCs w:val="28"/>
              </w:rPr>
              <w:t xml:space="preserve"> </w:t>
            </w:r>
          </w:p>
          <w:p w14:paraId="0895E592">
            <w:pPr>
              <w:pStyle w:val="4"/>
              <w:spacing w:line="192" w:lineRule="auto"/>
              <w:outlineLvl w:val="1"/>
              <w:rPr>
                <w:rFonts w:ascii="Times New Roman" w:hAnsi="Times New Roman" w:eastAsia="Calibri" w:cs="Times New Roman"/>
                <w:sz w:val="28"/>
                <w:szCs w:val="28"/>
              </w:rPr>
            </w:pPr>
          </w:p>
        </w:tc>
      </w:tr>
    </w:tbl>
    <w:p w14:paraId="6E7CB6F6">
      <w:pPr>
        <w:pStyle w:val="4"/>
        <w:spacing w:line="192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14:paraId="7E2C6335">
      <w:pPr>
        <w:autoSpaceDE w:val="0"/>
        <w:autoSpaceDN w:val="0"/>
        <w:adjustRightInd w:val="0"/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индикаторов риска нарушения обязательных требований</w:t>
      </w:r>
      <w:r>
        <w:rPr>
          <w:b/>
          <w:bCs/>
          <w:sz w:val="28"/>
          <w:szCs w:val="28"/>
        </w:rPr>
        <w:t xml:space="preserve">, </w:t>
      </w:r>
      <w:r>
        <w:rPr>
          <w:rFonts w:hint="default"/>
          <w:b/>
          <w:bCs/>
          <w:sz w:val="28"/>
          <w:szCs w:val="28"/>
          <w:lang w:val="ru-RU"/>
        </w:rPr>
        <w:t xml:space="preserve"> </w:t>
      </w:r>
      <w:r>
        <w:rPr>
          <w:b/>
          <w:bCs/>
          <w:sz w:val="28"/>
          <w:szCs w:val="28"/>
        </w:rPr>
        <w:t xml:space="preserve">используемые в качестве основания для проведения контрольных мероприятий при осуществлении муниципального </w:t>
      </w:r>
      <w:r>
        <w:rPr>
          <w:b/>
          <w:bCs/>
          <w:sz w:val="28"/>
          <w:szCs w:val="28"/>
          <w:lang w:val="ru-RU"/>
        </w:rPr>
        <w:t>жилищного</w:t>
      </w:r>
      <w:r>
        <w:rPr>
          <w:rFonts w:hint="default"/>
          <w:b/>
          <w:bCs/>
          <w:sz w:val="28"/>
          <w:szCs w:val="28"/>
          <w:lang w:val="ru-RU"/>
        </w:rPr>
        <w:t xml:space="preserve"> </w:t>
      </w:r>
      <w:bookmarkStart w:id="0" w:name="_GoBack"/>
      <w:bookmarkEnd w:id="0"/>
      <w:r>
        <w:rPr>
          <w:b/>
          <w:bCs/>
          <w:sz w:val="28"/>
          <w:szCs w:val="28"/>
        </w:rPr>
        <w:t>контроля</w:t>
      </w:r>
    </w:p>
    <w:p w14:paraId="10BBE1AA">
      <w:pPr>
        <w:ind w:firstLine="709"/>
        <w:jc w:val="both"/>
        <w:rPr>
          <w:sz w:val="28"/>
          <w:szCs w:val="28"/>
        </w:rPr>
      </w:pPr>
    </w:p>
    <w:p w14:paraId="249A4DF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Поступление в Контрольный орган обращения гражданина или организации, являющихся собственниками помещений в многоквартирном доме, граждан, являющихся пользователями помещений в многоквартирном доме, информации от органов государственной власти, органов местного самоуправления, из средств массовой информации о наличии в деятельности контролируемого лица хотя бы одного отклонения от следующих обязательных требований к:</w:t>
      </w:r>
    </w:p>
    <w:p w14:paraId="743204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 порядку осуществления перевода жилого помещения в нежилое помещение и нежилого помещения в жилое в многоквартирном доме; </w:t>
      </w:r>
    </w:p>
    <w:p w14:paraId="44F7EF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порядку осуществления перепланировки и (или) переустройства помещений в многоквартирном доме;</w:t>
      </w:r>
    </w:p>
    <w:p w14:paraId="2B3094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к предоставлению коммунальных услуг собственникам и пользователям помещений в многоквартирных домах и жилых домов;</w:t>
      </w:r>
    </w:p>
    <w:p w14:paraId="658F07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 к обеспечению доступности для инвалидов помещений в многоквартирных домах;</w:t>
      </w:r>
    </w:p>
    <w:p w14:paraId="6483EC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д) к деятельности юридических лиц, осуществляющих управление многоквартирными домами, в части осуществления аварийно-диспетчерского обслуживания;</w:t>
      </w:r>
    </w:p>
    <w:p w14:paraId="20B316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е) к обеспечению безопасности при использовании и содержании внутридомового и внутриквартирного газового оборудования.</w:t>
      </w:r>
    </w:p>
    <w:p w14:paraId="67DEBB4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Наличие данного индикатора свидетельствует о непосредственной угрозе причинения вреда (ущерба) охраняемым законом ценностям и является основанием для проведения внепланового контрольного (надзорного) мероприятия незамедлительно в соответствии с частью 12 статьи 66 Федерального закона № 248-ФЗ.</w:t>
      </w:r>
    </w:p>
    <w:p w14:paraId="31A3DCE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Поступление в Контрольный орган обращения гражданина или организации, являющихся собственниками помещений в многоквартирном доме, гражданина, являющегося пользователем помещения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обязательных требований, установленных частью 1 статьи 20 Жилищного кодекса Российской Федерации, за исключением обращений, указанных в пункте 1 настоящих типовых индикаторов, и обращений, послуживших основанием для проведения внепланового контрольного (надзорного) мероприятия в соответствии с частью 12 статьи 66 Федерального закона № 248-ФЗ, в случае если в течение года до поступления данного обращения, информации контролируемому лицу  Контрольным органом объявлялись предостережения о недопустимости нарушения аналогичных обязательных требований.</w:t>
      </w:r>
    </w:p>
    <w:p w14:paraId="7CD85C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Двукратный и более рост количества обращений за единицу времени (месяц, шесть месяцев, двенадцать месяцев) в сравнении с предшествующим аналогичным периодом и (или) с аналогичным периодом предшествующего календарного года, поступивших в адрес  Контрольного органа от граждан или организаций, являющихся собственниками помещений в многоквартирном доме, граждан, являющихся пользователями помещений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обязательных требований, установленных частью 1 статьи 20 Жилищного кодекса Российской Федерации.</w:t>
      </w:r>
    </w:p>
    <w:p w14:paraId="28689C5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Выявление в течение трех месяцев более пяти фактов несоответствия сведений (информации), полученных от гражданина или организации, являющихся собственниками помещений в многоквартирном доме, гражданина, являющегося пользователем помещения в многоквартирном доме, информации от органов государственной власти, органов местного самоуправления, из средств массовой информации и информации, размещённой контролируемым лицом в государственной информационной системе жилищно-коммунального хозяйства. </w:t>
      </w:r>
    </w:p>
    <w:p w14:paraId="70350A2C"/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EB5416"/>
    <w:rsid w:val="1DEB5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suppressAutoHyphens/>
    </w:pPr>
    <w:rPr>
      <w:rFonts w:ascii="Times New Roman" w:hAnsi="Times New Roman" w:eastAsia="Times New Roman" w:cs="Times New Roman"/>
      <w:sz w:val="24"/>
      <w:szCs w:val="24"/>
      <w:lang w:val="ru-RU" w:eastAsia="ar-SA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onsPlusNormal"/>
    <w:uiPriority w:val="0"/>
    <w:pPr>
      <w:suppressAutoHyphens/>
      <w:autoSpaceDE w:val="0"/>
    </w:pPr>
    <w:rPr>
      <w:rFonts w:ascii="Arial" w:hAnsi="Arial" w:eastAsia="Times New Roman" w:cs="Arial"/>
      <w:lang w:eastAsia="ar-SA" w:bidi="ar-SA"/>
    </w:rPr>
  </w:style>
  <w:style w:type="character" w:customStyle="1" w:styleId="5">
    <w:name w:val="bumpedfont15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2025-03-30T13:38:00Z</dcterms:created>
  <dc:creator>User</dc:creator>
  <cp:lastModifiedBy>User</cp:lastModifiedBy>
  <dcterms:modified xsi:type="dcterms:W3CDTF">2025-03-30T13:40:00Z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4B8F55E4DC964937BD9C09A6D2B3BBBA_11</vt:lpwstr>
  </property>
</Properties>
</file>