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0D" w:rsidRDefault="005F200D" w:rsidP="005F200D">
      <w:pPr>
        <w:ind w:firstLine="709"/>
        <w:jc w:val="right"/>
        <w:rPr>
          <w:noProof/>
          <w:sz w:val="20"/>
        </w:rPr>
      </w:pPr>
      <w:r>
        <w:rPr>
          <w:noProof/>
          <w:sz w:val="20"/>
        </w:rPr>
        <w:t>Приложение №1</w:t>
      </w:r>
    </w:p>
    <w:p w:rsidR="005F200D" w:rsidRPr="004C3C37" w:rsidRDefault="005F200D" w:rsidP="005F200D">
      <w:pPr>
        <w:ind w:firstLine="709"/>
        <w:jc w:val="right"/>
        <w:rPr>
          <w:noProof/>
          <w:sz w:val="20"/>
        </w:rPr>
      </w:pPr>
      <w:r>
        <w:rPr>
          <w:noProof/>
          <w:sz w:val="20"/>
        </w:rPr>
        <w:t>К постановлению от «01» марта 2023г. №18</w:t>
      </w:r>
    </w:p>
    <w:p w:rsidR="005F200D" w:rsidRDefault="005F200D" w:rsidP="005F200D"/>
    <w:p w:rsidR="005F200D" w:rsidRDefault="005F200D" w:rsidP="005F200D"/>
    <w:p w:rsidR="005F200D" w:rsidRDefault="005F200D" w:rsidP="005F200D">
      <w:pPr>
        <w:pStyle w:val="z-"/>
      </w:pPr>
      <w:r>
        <w:t>Начало формы</w:t>
      </w:r>
    </w:p>
    <w:p w:rsidR="005F200D" w:rsidRDefault="005F200D" w:rsidP="005F200D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Отчет об объеме за</w:t>
      </w:r>
      <w:bookmarkStart w:id="0" w:name="_GoBack"/>
      <w:bookmarkEnd w:id="0"/>
      <w:r>
        <w:rPr>
          <w:rFonts w:ascii="Tahoma" w:hAnsi="Tahoma" w:cs="Tahoma"/>
        </w:rPr>
        <w:t>купок у субъектов малого предпринимательства, социально ориентированных некоммерческих организаций</w:t>
      </w:r>
    </w:p>
    <w:p w:rsidR="005F200D" w:rsidRDefault="005F200D" w:rsidP="005F200D">
      <w:pPr>
        <w:pStyle w:val="subtitl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за 2022 отчетный год </w:t>
      </w:r>
    </w:p>
    <w:p w:rsidR="005F200D" w:rsidRDefault="005F200D" w:rsidP="005F200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I. Сведения о заказчике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F200D" w:rsidTr="00CD17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00" w:type="pct"/>
            <w:vAlign w:val="center"/>
            <w:hideMark/>
          </w:tcPr>
          <w:p w:rsidR="005F200D" w:rsidRDefault="005F200D" w:rsidP="00CD17C2">
            <w:pPr>
              <w:jc w:val="center"/>
              <w:rPr>
                <w:sz w:val="20"/>
                <w:szCs w:val="20"/>
              </w:rPr>
            </w:pP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a3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parametervalue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АДМИНИСТРАЦИЯ МУНИЦИПАЛЬНОГО ОБРАЗОВАНИЯ СВИРИЦКОЕ СЕЛЬСКОЕ ПОСЕЛЕНИЕ ВОЛХОВСКОГО МУНИЦИПАЛЬНОГО РАЙОНА ЛЕНИНГРАДСКОЙ ОБЛАСТИ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a3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parametervalue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Муниципальное казенное учреждение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a3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parametervalue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Российская Федерация, 187469, Ленинградская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, Волховский р-н, Свирица п, УЛИЦА НОВАЯ СВИРИЦА, 38, +7 (81363) 44225, sviricaadm@mail.ru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a3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parametervalue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4718002570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a3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parametervalue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470201001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a3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parametervalue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a3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parametervalue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00366853 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a3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pStyle w:val="parametervalue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41609480101</w:t>
            </w:r>
          </w:p>
        </w:tc>
      </w:tr>
    </w:tbl>
    <w:p w:rsidR="005F200D" w:rsidRDefault="005F200D" w:rsidP="005F200D">
      <w:pPr>
        <w:pStyle w:val="subtitl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368"/>
        <w:gridCol w:w="3445"/>
      </w:tblGrid>
      <w:tr w:rsidR="005F200D" w:rsidTr="00CD17C2">
        <w:trPr>
          <w:tblCellSpacing w:w="15" w:type="dxa"/>
        </w:trPr>
        <w:tc>
          <w:tcPr>
            <w:tcW w:w="50" w:type="pct"/>
            <w:vAlign w:val="center"/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5F200D" w:rsidRDefault="005F200D" w:rsidP="00CD1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pct"/>
            <w:vAlign w:val="center"/>
            <w:hideMark/>
          </w:tcPr>
          <w:p w:rsidR="005F200D" w:rsidRDefault="005F200D" w:rsidP="00CD17C2">
            <w:pPr>
              <w:jc w:val="center"/>
              <w:rPr>
                <w:sz w:val="20"/>
                <w:szCs w:val="20"/>
              </w:rPr>
            </w:pP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Величина показателя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тыс.руб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16 166.249 66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5 847.997 66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тыс.руб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0.000 00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0.000 00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тыс.руб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5 847.997 66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тыс.руб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0.000 00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тыс.руб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0.000 00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0.000 00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10 318.252 00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2 579.563 00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тыс.руб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10 318.252 00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тыс.руб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0.000 00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тыс.руб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10 318.252 00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100.000 00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  <w:proofErr w:type="gramStart"/>
            <w:r>
              <w:rPr>
                <w:rFonts w:ascii="Tahoma" w:hAnsi="Tahoma" w:cs="Tahoma"/>
                <w:sz w:val="21"/>
                <w:szCs w:val="21"/>
              </w:rPr>
              <w:t>по результатам</w:t>
            </w:r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 проведения которых контракт не заключен (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тыс.руб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10 318.252 00</w:t>
            </w:r>
          </w:p>
        </w:tc>
      </w:tr>
    </w:tbl>
    <w:p w:rsidR="005F200D" w:rsidRDefault="005F200D" w:rsidP="005F200D">
      <w:pPr>
        <w:pStyle w:val="subtitle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III. Информация о заключенных контрактах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6026"/>
        <w:gridCol w:w="2909"/>
      </w:tblGrid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Уникальные номера реестровых записей из реестра контрактов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3471800257022000003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spacing w:after="24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3471800257022000001</w:t>
            </w:r>
            <w:r>
              <w:rPr>
                <w:rFonts w:ascii="Tahoma" w:hAnsi="Tahoma" w:cs="Tahoma"/>
                <w:sz w:val="21"/>
                <w:szCs w:val="21"/>
              </w:rPr>
              <w:br/>
              <w:t>3471800257022000002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spacing w:after="24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3471800257022000003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  <w:tr w:rsidR="005F200D" w:rsidTr="00CD17C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00D" w:rsidRDefault="005F200D" w:rsidP="00CD17C2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-</w:t>
            </w:r>
          </w:p>
        </w:tc>
      </w:tr>
    </w:tbl>
    <w:p w:rsidR="005F200D" w:rsidRDefault="005F200D" w:rsidP="005F200D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5F200D" w:rsidTr="00CD17C2"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Руководитель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1324"/>
              <w:gridCol w:w="2704"/>
            </w:tblGrid>
            <w:tr w:rsidR="005F200D" w:rsidTr="00CD17C2"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200D" w:rsidRDefault="005F200D" w:rsidP="00CD17C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200D" w:rsidRDefault="005F200D" w:rsidP="00CD17C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200D" w:rsidRDefault="005F200D" w:rsidP="00CD17C2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АТАМАНОВА ВЕРА АЛЕКСЕЕВНА</w:t>
                  </w:r>
                </w:p>
              </w:tc>
            </w:tr>
            <w:tr w:rsidR="005F200D" w:rsidTr="00CD17C2"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200D" w:rsidRDefault="005F200D" w:rsidP="00CD17C2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200D" w:rsidRDefault="005F200D" w:rsidP="00CD17C2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200D" w:rsidRDefault="005F200D" w:rsidP="00CD17C2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</w:tbl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5F200D" w:rsidRDefault="005F200D" w:rsidP="005F200D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200D" w:rsidTr="00CD17C2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F200D" w:rsidRDefault="005F200D" w:rsidP="00CD17C2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М.П.</w:t>
            </w:r>
          </w:p>
        </w:tc>
      </w:tr>
    </w:tbl>
    <w:p w:rsidR="00465A7C" w:rsidRDefault="00465A7C"/>
    <w:sectPr w:rsidR="0046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0D"/>
    <w:rsid w:val="00465A7C"/>
    <w:rsid w:val="005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5BA7-BCBC-4E32-91D2-94E8882D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0D"/>
    <w:pPr>
      <w:spacing w:before="100" w:beforeAutospacing="1" w:after="119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20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F200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title">
    <w:name w:val="subtitle"/>
    <w:basedOn w:val="a"/>
    <w:rsid w:val="005F200D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a"/>
    <w:rsid w:val="005F200D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parametervalue">
    <w:name w:val="parametervalue"/>
    <w:basedOn w:val="a"/>
    <w:rsid w:val="005F2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2023-03-02T10:02:00Z</dcterms:created>
  <dcterms:modified xsi:type="dcterms:W3CDTF">2023-03-02T10:05:00Z</dcterms:modified>
</cp:coreProperties>
</file>