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2" w:rsidRPr="00414C7E" w:rsidRDefault="003C28F2" w:rsidP="003C2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52170" cy="997585"/>
            <wp:effectExtent l="19050" t="0" r="508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F2" w:rsidRPr="00CD23E5" w:rsidRDefault="003C28F2" w:rsidP="003C2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3C28F2" w:rsidRPr="00CD23E5" w:rsidRDefault="003C28F2" w:rsidP="003C2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C28F2" w:rsidRPr="00CD23E5" w:rsidRDefault="003C28F2" w:rsidP="003C2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3C28F2" w:rsidRPr="00CD23E5" w:rsidRDefault="003C28F2" w:rsidP="003C2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3C28F2" w:rsidRPr="00CD23E5" w:rsidRDefault="003C28F2" w:rsidP="003C28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C28F2" w:rsidRDefault="003C28F2" w:rsidP="003C28F2">
      <w:pPr>
        <w:pStyle w:val="1"/>
      </w:pPr>
      <w:r w:rsidRPr="00CD23E5">
        <w:t>(четвертого созыва)</w:t>
      </w:r>
    </w:p>
    <w:p w:rsidR="00BF1140" w:rsidRPr="009D3ADB" w:rsidRDefault="00BF1140" w:rsidP="003C28F2">
      <w:pPr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40" w:rsidRPr="009D3ADB" w:rsidRDefault="00BE444E" w:rsidP="009D3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DB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16523" w:rsidTr="00A16523">
        <w:tc>
          <w:tcPr>
            <w:tcW w:w="5140" w:type="dxa"/>
          </w:tcPr>
          <w:p w:rsidR="00A16523" w:rsidRPr="001332D7" w:rsidRDefault="001332D7" w:rsidP="009D3A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16523"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15» октября </w:t>
            </w:r>
            <w:r w:rsidR="00A16523"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A16523"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A16523" w:rsidRPr="001332D7" w:rsidRDefault="00A16523" w:rsidP="009D3A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A16523" w:rsidRPr="001332D7" w:rsidRDefault="00A16523" w:rsidP="001332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332D7" w:rsidRPr="001332D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</w:tbl>
    <w:p w:rsidR="00BF1140" w:rsidRPr="001E4B3C" w:rsidRDefault="00BF1140" w:rsidP="009D3ADB">
      <w:pPr>
        <w:shd w:val="clear" w:color="auto" w:fill="FFFFFF"/>
        <w:spacing w:after="0" w:line="240" w:lineRule="auto"/>
        <w:ind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B3C">
        <w:rPr>
          <w:rFonts w:ascii="Times New Roman" w:hAnsi="Times New Roman" w:cs="Times New Roman"/>
          <w:b/>
          <w:iCs/>
          <w:sz w:val="28"/>
          <w:szCs w:val="28"/>
        </w:rPr>
        <w:t>Об утверждении п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проведения </w:t>
      </w:r>
      <w:r w:rsidR="003C4705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осмотров 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зданий, сооружений</w:t>
      </w:r>
      <w:r w:rsidR="004772FF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2FF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на территории </w:t>
      </w:r>
      <w:r w:rsidR="00286E7B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Свирицкое сельское поселение</w:t>
      </w:r>
      <w:r w:rsidR="002C4874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315DC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предъявляемыми 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конструктивным и другим характеристикам надежности и безопасности</w:t>
      </w:r>
      <w:r w:rsidR="00886B7C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требованиями проектной документации</w:t>
      </w:r>
      <w:r w:rsidR="00886B7C"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указанных объектов</w:t>
      </w:r>
      <w:r w:rsidRPr="001E4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C15226" w:rsidRDefault="00906426" w:rsidP="00C15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статьей 1 областного закона от</w:t>
      </w:r>
      <w:proofErr w:type="gramEnd"/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10</w:t>
      </w:r>
      <w:r w:rsid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2014 года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Устава 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Свирицкое сельское поселение Волховского муниципального района Ленинградской области, </w:t>
      </w:r>
      <w:r w:rsidR="00BE444E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A32E9" w:rsidRDefault="00BF1140" w:rsidP="00AA32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A32E9" w:rsidRPr="00AA32E9" w:rsidRDefault="00AA32E9" w:rsidP="00AA32E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32E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Pr="00AA32E9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9" w:history="1">
        <w:proofErr w:type="spellStart"/>
        <w:r w:rsidRPr="00AA32E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svirica</w:t>
        </w:r>
        <w:proofErr w:type="spellEnd"/>
        <w:r w:rsidRPr="00AA32E9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AA32E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AA32E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AA32E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A32E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BF1140" w:rsidRPr="009D3ADB" w:rsidRDefault="00BE444E" w:rsidP="009D3AD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hAnsi="Times New Roman" w:cs="Times New Roman"/>
          <w:sz w:val="28"/>
          <w:szCs w:val="28"/>
        </w:rPr>
        <w:t>Решение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F1140" w:rsidRPr="009D3ADB" w:rsidRDefault="00BF1140" w:rsidP="009D3AD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26" w:rsidRDefault="00C15226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9D3ADB" w:rsidRDefault="00C15226" w:rsidP="009D3AD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BE444E" w:rsidRPr="009D3ADB">
        <w:rPr>
          <w:rFonts w:ascii="Times New Roman" w:hAnsi="Times New Roman" w:cs="Times New Roman"/>
          <w:sz w:val="28"/>
          <w:szCs w:val="28"/>
        </w:rPr>
        <w:t xml:space="preserve">    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А.В.Куликов</w:t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10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Утвержден</w:t>
      </w: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решением Совета депутатов</w:t>
      </w:r>
    </w:p>
    <w:p w:rsid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образования</w:t>
      </w:r>
    </w:p>
    <w:p w:rsidR="008D10A2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1522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Свирицкое сельское поселение</w:t>
      </w: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</w:t>
      </w:r>
      <w:r w:rsidR="001332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15»октября </w:t>
      </w: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 года</w:t>
      </w:r>
      <w:r w:rsidR="001332D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№71</w:t>
      </w:r>
    </w:p>
    <w:p w:rsidR="006055D3" w:rsidRPr="00C15226" w:rsidRDefault="00875546" w:rsidP="00C15226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C1522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Свирицкое сельское поселение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находящихся в эксплуатации и расположенных на территории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</w:t>
      </w:r>
      <w:proofErr w:type="gramEnd"/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  <w:proofErr w:type="gramEnd"/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proofErr w:type="gramEnd"/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11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поступления заявления о возникновении аварийной ситуации в здании, сооружении или возникновении угрозы разрушения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</w:t>
      </w:r>
      <w:proofErr w:type="gramStart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 не являющиеся их </w:t>
      </w: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аффилированными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Кодексом Российской Федерации об административных правонарушениях, областным 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C1522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Свирицкое сельское поселение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C15226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C15226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C1522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Свирицкое сельское поселение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</w:t>
      </w:r>
      <w:r w:rsidR="00C1522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образования Свирицкое сельское поселение </w:t>
      </w: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lastRenderedPageBreak/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proofErr w:type="spellEnd"/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C15226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1B17CF" w:rsidRPr="00C15226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C1522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Свирицкое сельское поселение</w:t>
      </w: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C15226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  <w:r w:rsidR="00D35786"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F1140" w:rsidRPr="00C15226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152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CA" w:rsidRDefault="000320CA" w:rsidP="001853B4">
      <w:pPr>
        <w:spacing w:after="0" w:line="240" w:lineRule="auto"/>
      </w:pPr>
      <w:r>
        <w:separator/>
      </w:r>
    </w:p>
  </w:endnote>
  <w:endnote w:type="continuationSeparator" w:id="0">
    <w:p w:rsidR="000320CA" w:rsidRDefault="000320CA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CA" w:rsidRDefault="000320CA" w:rsidP="001853B4">
      <w:pPr>
        <w:spacing w:after="0" w:line="240" w:lineRule="auto"/>
      </w:pPr>
      <w:r>
        <w:separator/>
      </w:r>
    </w:p>
  </w:footnote>
  <w:footnote w:type="continuationSeparator" w:id="0">
    <w:p w:rsidR="000320CA" w:rsidRDefault="000320CA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  <w:docPartObj>
        <w:docPartGallery w:val="Page Numbers (Top of Page)"/>
        <w:docPartUnique/>
      </w:docPartObj>
    </w:sdtPr>
    <w:sdtContent>
      <w:p w:rsidR="00775E7C" w:rsidRDefault="00943F99">
        <w:pPr>
          <w:pStyle w:val="a5"/>
          <w:jc w:val="center"/>
        </w:pPr>
        <w:fldSimple w:instr=" PAGE   \* MERGEFORMAT ">
          <w:r w:rsidR="001332D7">
            <w:rPr>
              <w:noProof/>
            </w:rPr>
            <w:t>13</w:t>
          </w:r>
        </w:fldSimple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15B8F"/>
    <w:rsid w:val="000205A2"/>
    <w:rsid w:val="000226F7"/>
    <w:rsid w:val="00030D2B"/>
    <w:rsid w:val="000320CA"/>
    <w:rsid w:val="000459A8"/>
    <w:rsid w:val="00063F61"/>
    <w:rsid w:val="0007564F"/>
    <w:rsid w:val="00095813"/>
    <w:rsid w:val="000B1ADF"/>
    <w:rsid w:val="000C7A81"/>
    <w:rsid w:val="000E73DC"/>
    <w:rsid w:val="000F166A"/>
    <w:rsid w:val="0011163D"/>
    <w:rsid w:val="0012213D"/>
    <w:rsid w:val="001224FB"/>
    <w:rsid w:val="001332D7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4B3C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86E7B"/>
    <w:rsid w:val="00294329"/>
    <w:rsid w:val="002C4874"/>
    <w:rsid w:val="002C5A52"/>
    <w:rsid w:val="002F096E"/>
    <w:rsid w:val="0031354C"/>
    <w:rsid w:val="00321C88"/>
    <w:rsid w:val="00326353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B67DB"/>
    <w:rsid w:val="003C28F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0024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43F99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26859"/>
    <w:rsid w:val="00A33FE2"/>
    <w:rsid w:val="00A36831"/>
    <w:rsid w:val="00A462D2"/>
    <w:rsid w:val="00A71292"/>
    <w:rsid w:val="00A91104"/>
    <w:rsid w:val="00AA2FBD"/>
    <w:rsid w:val="00AA32E9"/>
    <w:rsid w:val="00AC0795"/>
    <w:rsid w:val="00AD58C2"/>
    <w:rsid w:val="00AE02AB"/>
    <w:rsid w:val="00AE6B67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15226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C2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C2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3C28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256A62F7D1564E8773E4B09B36C6535B27FB73B454074978744BE58020E6244C951197E7B29F3CE8E6C319B928FE59768625A51x5h4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7CEB5-8FBB-4329-B264-D13BB77C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72</cp:revision>
  <cp:lastPrinted>2020-10-19T07:11:00Z</cp:lastPrinted>
  <dcterms:created xsi:type="dcterms:W3CDTF">2020-09-10T08:40:00Z</dcterms:created>
  <dcterms:modified xsi:type="dcterms:W3CDTF">2020-10-19T07:11:00Z</dcterms:modified>
</cp:coreProperties>
</file>